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60296" w14:textId="77777777" w:rsidR="00D7605F" w:rsidRDefault="00C62291">
      <w:pPr>
        <w:spacing w:line="265" w:lineRule="auto"/>
        <w:ind w:left="154" w:right="252" w:hanging="10"/>
        <w:jc w:val="center"/>
      </w:pPr>
      <w:r>
        <w:t>Government of India</w:t>
      </w:r>
    </w:p>
    <w:p w14:paraId="23BDFED3" w14:textId="77777777" w:rsidR="00D7605F" w:rsidRDefault="00C62291">
      <w:pPr>
        <w:spacing w:line="265" w:lineRule="auto"/>
        <w:ind w:left="154" w:right="252" w:hanging="10"/>
        <w:jc w:val="center"/>
      </w:pPr>
      <w:r>
        <w:t>Ministry of Commerce &amp; Industry</w:t>
      </w:r>
    </w:p>
    <w:p w14:paraId="4AE59F52" w14:textId="77777777" w:rsidR="00D7605F" w:rsidRDefault="00C62291">
      <w:pPr>
        <w:spacing w:line="265" w:lineRule="auto"/>
        <w:ind w:left="154" w:right="252" w:hanging="10"/>
        <w:jc w:val="center"/>
      </w:pPr>
      <w:r>
        <w:t>Department of Commerce</w:t>
      </w:r>
    </w:p>
    <w:p w14:paraId="661DEF3E" w14:textId="77777777" w:rsidR="00D7605F" w:rsidRDefault="00C62291">
      <w:pPr>
        <w:spacing w:line="265" w:lineRule="auto"/>
        <w:ind w:left="154" w:right="245" w:hanging="10"/>
        <w:jc w:val="center"/>
      </w:pPr>
      <w:r>
        <w:t>Directorate General of Foreign Trade</w:t>
      </w:r>
    </w:p>
    <w:p w14:paraId="2570114A" w14:textId="77777777" w:rsidR="00D7605F" w:rsidRDefault="00C62291">
      <w:pPr>
        <w:spacing w:after="255" w:line="265" w:lineRule="auto"/>
        <w:ind w:left="154" w:right="245" w:hanging="10"/>
        <w:jc w:val="center"/>
      </w:pPr>
      <w:r>
        <w:t>Vanijya Bhawan, New Delhi</w:t>
      </w:r>
    </w:p>
    <w:p w14:paraId="57540FB6" w14:textId="77777777" w:rsidR="00D7605F" w:rsidRDefault="00C62291">
      <w:pPr>
        <w:spacing w:after="299" w:line="259" w:lineRule="auto"/>
        <w:ind w:left="10" w:right="94" w:hanging="10"/>
        <w:jc w:val="right"/>
      </w:pPr>
      <w:r>
        <w:t xml:space="preserve">Dated: I I </w:t>
      </w:r>
      <w:r>
        <w:rPr>
          <w:vertAlign w:val="superscript"/>
        </w:rPr>
        <w:t xml:space="preserve">th </w:t>
      </w:r>
      <w:r>
        <w:t>November 2025</w:t>
      </w:r>
    </w:p>
    <w:p w14:paraId="4EEB8C10" w14:textId="77777777" w:rsidR="00D7605F" w:rsidRDefault="00C62291">
      <w:pPr>
        <w:spacing w:after="257" w:line="247" w:lineRule="auto"/>
        <w:ind w:left="0" w:right="2802" w:firstLine="3019"/>
        <w:jc w:val="left"/>
      </w:pPr>
      <w:r>
        <w:rPr>
          <w:u w:val="single" w:color="000000"/>
        </w:rPr>
        <w:t xml:space="preserve">Policy Circular No. 07/2025-26 </w:t>
      </w:r>
      <w:r>
        <w:t>To,</w:t>
      </w:r>
    </w:p>
    <w:p w14:paraId="3D691E93" w14:textId="77777777" w:rsidR="00D7605F" w:rsidRDefault="00C62291">
      <w:pPr>
        <w:spacing w:line="259" w:lineRule="auto"/>
        <w:ind w:left="702" w:right="50"/>
      </w:pPr>
      <w:r>
        <w:t>All RAs of DGFT</w:t>
      </w:r>
    </w:p>
    <w:p w14:paraId="04C6C24D" w14:textId="77777777" w:rsidR="00D7605F" w:rsidRDefault="00C62291">
      <w:pPr>
        <w:spacing w:line="259" w:lineRule="auto"/>
        <w:ind w:left="702" w:right="50"/>
      </w:pPr>
      <w:r>
        <w:t>All Customs Authorities</w:t>
      </w:r>
    </w:p>
    <w:p w14:paraId="5818AFBB" w14:textId="77777777" w:rsidR="00D7605F" w:rsidRDefault="00C62291">
      <w:pPr>
        <w:spacing w:after="312" w:line="259" w:lineRule="auto"/>
        <w:ind w:left="709" w:right="50"/>
      </w:pPr>
      <w:r>
        <w:t>All Exporters / Members of Trade</w:t>
      </w:r>
    </w:p>
    <w:p w14:paraId="461A75C5" w14:textId="77777777" w:rsidR="00D7605F" w:rsidRDefault="00C62291">
      <w:pPr>
        <w:spacing w:after="160"/>
        <w:ind w:left="17" w:right="50"/>
      </w:pPr>
      <w:r>
        <w:t>Subject: Clarification on Redemption of Advance Authorisations impacted by Erstwhile Rule 96(10) of the CGST Rules and imports effected Between October 13, 2017 to January 09, 2019 — regarding.</w:t>
      </w:r>
    </w:p>
    <w:p w14:paraId="0024E26F" w14:textId="77777777" w:rsidR="00D7605F" w:rsidRDefault="00C62291">
      <w:pPr>
        <w:spacing w:after="228"/>
        <w:ind w:left="14" w:right="50" w:firstLine="713"/>
      </w:pPr>
      <w:r>
        <w:t>It has come to the notice of this Directorate that certain exporters are facing difficulties in obtaining redemption of Advance Authorisations (AAs) affected by the erstwhile provisions of Rule 96 (10) of the CGST Rules, 2017. The said Rule, prior to its amendment, restricted the refund of IGST paid on exports in cases where the exporter or its supplier had availed specified duty exemptions, such as those under Customs Notification No. 79/2017-Customs, for imports effected between October 13, 2017 and Janua</w:t>
      </w:r>
      <w:r>
        <w:t>ry 09, 2019.</w:t>
      </w:r>
    </w:p>
    <w:p w14:paraId="220F63F7" w14:textId="77777777" w:rsidR="00D7605F" w:rsidRDefault="00C62291">
      <w:pPr>
        <w:numPr>
          <w:ilvl w:val="0"/>
          <w:numId w:val="1"/>
        </w:numPr>
        <w:spacing w:after="226"/>
        <w:ind w:right="50"/>
      </w:pPr>
      <w:r>
        <w:t>It may kindly be recalled that pursuant to issuance of Customs Notification No. 79/2017</w:t>
      </w:r>
      <w:r>
        <w:rPr>
          <w:noProof/>
        </w:rPr>
        <w:drawing>
          <wp:inline distT="0" distB="0" distL="0" distR="0" wp14:anchorId="4C7F7DAD" wp14:editId="52052C17">
            <wp:extent cx="4575" cy="4572"/>
            <wp:effectExtent l="0" t="0" r="0" b="0"/>
            <wp:docPr id="1656" name="Picture 1656"/>
            <wp:cNvGraphicFramePr/>
            <a:graphic xmlns:a="http://schemas.openxmlformats.org/drawingml/2006/main">
              <a:graphicData uri="http://schemas.openxmlformats.org/drawingml/2006/picture">
                <pic:pic xmlns:pic="http://schemas.openxmlformats.org/drawingml/2006/picture">
                  <pic:nvPicPr>
                    <pic:cNvPr id="1656" name="Picture 1656"/>
                    <pic:cNvPicPr/>
                  </pic:nvPicPr>
                  <pic:blipFill>
                    <a:blip r:embed="rId5"/>
                    <a:stretch>
                      <a:fillRect/>
                    </a:stretch>
                  </pic:blipFill>
                  <pic:spPr>
                    <a:xfrm>
                      <a:off x="0" y="0"/>
                      <a:ext cx="4575" cy="4572"/>
                    </a:xfrm>
                    <a:prstGeom prst="rect">
                      <a:avLst/>
                    </a:prstGeom>
                  </pic:spPr>
                </pic:pic>
              </a:graphicData>
            </a:graphic>
          </wp:inline>
        </w:drawing>
      </w:r>
      <w:r>
        <w:t>Customs dated October 13, 2017, this Directorate had issued Notification No. 33/2015-2020 dated October 13, 2017, modifying Para 4.14 of the Foreign Trade Policy (FTP) 2015—2020 to extend exemption from payment of all duties, including IGST and Compensation Cess, for physical exports under the Advance Authorisation (AA) Scheme, subject to the pre-import condition. Subsequently, following the issuance of Customs Notification No. 01/2019-Customs dated January 10, 2019, the pre-import condition was formally w</w:t>
      </w:r>
      <w:r>
        <w:t>ithdrawn through DGFT Notification ,NO. 53/2015-2020 dated January 10, 2019, thereby allowing exemption from IGST and Compensation Cess under the AA Scheme without prior import requirements.</w:t>
      </w:r>
    </w:p>
    <w:p w14:paraId="437AB194" w14:textId="77777777" w:rsidR="00D7605F" w:rsidRDefault="00C62291">
      <w:pPr>
        <w:numPr>
          <w:ilvl w:val="0"/>
          <w:numId w:val="1"/>
        </w:numPr>
        <w:spacing w:after="251"/>
        <w:ind w:right="50"/>
      </w:pPr>
      <w:r>
        <w:t>In compliance with the Hon'ble Supreme Court's judgment dated April 28, 2023, the Customs Authorities issued Circular No. 16/2023-Customs dated June 07, 2023. While upholding the Revenue's appeal, the Hon'ble Court directed that affected parties be permitted to</w:t>
      </w:r>
    </w:p>
    <w:p w14:paraId="54FB617E" w14:textId="77777777" w:rsidR="00D7605F" w:rsidRDefault="00C62291">
      <w:pPr>
        <w:spacing w:after="156" w:line="259" w:lineRule="auto"/>
        <w:ind w:left="197" w:right="202" w:hanging="10"/>
        <w:jc w:val="center"/>
      </w:pPr>
      <w:r>
        <w:rPr>
          <w:rFonts w:ascii="Calibri" w:eastAsia="Calibri" w:hAnsi="Calibri" w:cs="Calibri"/>
          <w:sz w:val="22"/>
        </w:rPr>
        <w:lastRenderedPageBreak/>
        <w:t>Page 1 of 2</w:t>
      </w:r>
    </w:p>
    <w:p w14:paraId="4AD7F9BC" w14:textId="77777777" w:rsidR="00D7605F" w:rsidRDefault="00C62291">
      <w:pPr>
        <w:spacing w:after="214"/>
        <w:ind w:left="17" w:right="50"/>
      </w:pPr>
      <w:r>
        <w:t>claim refund or input tax credit (ITC) wherever admissible. In alignment with the above, this Directorate had also issued Trade Notice No. 07/2023-24 dated June 08, 2023 and Trade Notice No. 27/2023 dated September 25, 2023.</w:t>
      </w:r>
    </w:p>
    <w:p w14:paraId="5A948EC4" w14:textId="77777777" w:rsidR="00D7605F" w:rsidRDefault="00C62291">
      <w:pPr>
        <w:numPr>
          <w:ilvl w:val="0"/>
          <w:numId w:val="1"/>
        </w:numPr>
        <w:spacing w:after="165"/>
        <w:ind w:right="50"/>
      </w:pPr>
      <w:r>
        <w:t>In continuation of the above, it is hereby clarified that the Export Obligation Discharge Certificate (EODC) shall not be withheld, provided all other requirements are duly fulfilled, in the following cases:</w:t>
      </w:r>
    </w:p>
    <w:p w14:paraId="1035DD82" w14:textId="77777777" w:rsidR="00D7605F" w:rsidRDefault="00C62291">
      <w:pPr>
        <w:numPr>
          <w:ilvl w:val="1"/>
          <w:numId w:val="1"/>
        </w:numPr>
        <w:ind w:right="50" w:hanging="598"/>
      </w:pPr>
      <w:r>
        <w:t xml:space="preserve">Payment of IGST in Cash: Where IGST has been paid in cash at the time of clearance </w:t>
      </w:r>
      <w:r>
        <w:rPr>
          <w:noProof/>
        </w:rPr>
        <w:drawing>
          <wp:inline distT="0" distB="0" distL="0" distR="0" wp14:anchorId="2B794AD2" wp14:editId="6738134F">
            <wp:extent cx="13724" cy="18288"/>
            <wp:effectExtent l="0" t="0" r="0" b="0"/>
            <wp:docPr id="6106" name="Picture 6106"/>
            <wp:cNvGraphicFramePr/>
            <a:graphic xmlns:a="http://schemas.openxmlformats.org/drawingml/2006/main">
              <a:graphicData uri="http://schemas.openxmlformats.org/drawingml/2006/picture">
                <pic:pic xmlns:pic="http://schemas.openxmlformats.org/drawingml/2006/picture">
                  <pic:nvPicPr>
                    <pic:cNvPr id="6106" name="Picture 6106"/>
                    <pic:cNvPicPr/>
                  </pic:nvPicPr>
                  <pic:blipFill>
                    <a:blip r:embed="rId6"/>
                    <a:stretch>
                      <a:fillRect/>
                    </a:stretch>
                  </pic:blipFill>
                  <pic:spPr>
                    <a:xfrm>
                      <a:off x="0" y="0"/>
                      <a:ext cx="13724" cy="18288"/>
                    </a:xfrm>
                    <a:prstGeom prst="rect">
                      <a:avLst/>
                    </a:prstGeom>
                  </pic:spPr>
                </pic:pic>
              </a:graphicData>
            </a:graphic>
          </wp:inline>
        </w:drawing>
      </w:r>
      <w:r>
        <w:t>of import consignments under the AA Scheme during the period October 13, 2017 to</w:t>
      </w:r>
      <w:r>
        <w:rPr>
          <w:noProof/>
        </w:rPr>
        <w:drawing>
          <wp:inline distT="0" distB="0" distL="0" distR="0" wp14:anchorId="6D49A04D" wp14:editId="3C97ABAD">
            <wp:extent cx="4574" cy="4572"/>
            <wp:effectExtent l="0" t="0" r="0" b="0"/>
            <wp:docPr id="3070" name="Picture 3070"/>
            <wp:cNvGraphicFramePr/>
            <a:graphic xmlns:a="http://schemas.openxmlformats.org/drawingml/2006/main">
              <a:graphicData uri="http://schemas.openxmlformats.org/drawingml/2006/picture">
                <pic:pic xmlns:pic="http://schemas.openxmlformats.org/drawingml/2006/picture">
                  <pic:nvPicPr>
                    <pic:cNvPr id="3070" name="Picture 3070"/>
                    <pic:cNvPicPr/>
                  </pic:nvPicPr>
                  <pic:blipFill>
                    <a:blip r:embed="rId7"/>
                    <a:stretch>
                      <a:fillRect/>
                    </a:stretch>
                  </pic:blipFill>
                  <pic:spPr>
                    <a:xfrm>
                      <a:off x="0" y="0"/>
                      <a:ext cx="4574" cy="4572"/>
                    </a:xfrm>
                    <a:prstGeom prst="rect">
                      <a:avLst/>
                    </a:prstGeom>
                  </pic:spPr>
                </pic:pic>
              </a:graphicData>
            </a:graphic>
          </wp:inline>
        </w:drawing>
      </w:r>
    </w:p>
    <w:p w14:paraId="7D7F71B4" w14:textId="77777777" w:rsidR="00D7605F" w:rsidRDefault="00C62291">
      <w:pPr>
        <w:spacing w:after="106" w:line="259" w:lineRule="auto"/>
        <w:ind w:left="788" w:right="50"/>
      </w:pPr>
      <w:r>
        <w:t>January 09, 2019.</w:t>
      </w:r>
    </w:p>
    <w:p w14:paraId="1D3A1069" w14:textId="77777777" w:rsidR="00D7605F" w:rsidRDefault="00C62291">
      <w:pPr>
        <w:numPr>
          <w:ilvl w:val="1"/>
          <w:numId w:val="1"/>
        </w:numPr>
        <w:ind w:right="50" w:hanging="598"/>
      </w:pPr>
      <w:r>
        <w:t>Non-Availing of Duty Exemptions: Where the applicant has not availed exemption from IGST, Compensation Cess, or other levies (except Basic Customs Duty).</w:t>
      </w:r>
    </w:p>
    <w:p w14:paraId="57945619" w14:textId="77777777" w:rsidR="00D7605F" w:rsidRDefault="00C62291">
      <w:pPr>
        <w:numPr>
          <w:ilvl w:val="1"/>
          <w:numId w:val="1"/>
        </w:numPr>
        <w:spacing w:after="196"/>
        <w:ind w:right="50" w:hanging="598"/>
      </w:pPr>
      <w:r>
        <w:t>Compliance with Pre-Import Condition: Where the applicant has complied with the prescribed pre-import and other procedural requirements under the Scheme.</w:t>
      </w:r>
    </w:p>
    <w:p w14:paraId="70B7E1A2" w14:textId="77777777" w:rsidR="00D7605F" w:rsidRDefault="00C62291">
      <w:pPr>
        <w:spacing w:line="259" w:lineRule="auto"/>
        <w:ind w:left="572" w:right="50"/>
      </w:pPr>
      <w:r>
        <w:t>This Policy Circular is issued with the approval of the DG, DGFT.</w:t>
      </w:r>
    </w:p>
    <w:p w14:paraId="5957FAE9" w14:textId="77777777" w:rsidR="00D7605F" w:rsidRDefault="00C62291">
      <w:pPr>
        <w:spacing w:after="65" w:line="259" w:lineRule="auto"/>
        <w:ind w:left="7420" w:right="-223" w:firstLine="0"/>
        <w:jc w:val="left"/>
      </w:pPr>
      <w:r>
        <w:rPr>
          <w:noProof/>
        </w:rPr>
        <w:drawing>
          <wp:inline distT="0" distB="0" distL="0" distR="0" wp14:anchorId="21A1CF83" wp14:editId="57A288E4">
            <wp:extent cx="1271765" cy="557784"/>
            <wp:effectExtent l="0" t="0" r="0" b="0"/>
            <wp:docPr id="3107" name="Picture 3107"/>
            <wp:cNvGraphicFramePr/>
            <a:graphic xmlns:a="http://schemas.openxmlformats.org/drawingml/2006/main">
              <a:graphicData uri="http://schemas.openxmlformats.org/drawingml/2006/picture">
                <pic:pic xmlns:pic="http://schemas.openxmlformats.org/drawingml/2006/picture">
                  <pic:nvPicPr>
                    <pic:cNvPr id="3107" name="Picture 3107"/>
                    <pic:cNvPicPr/>
                  </pic:nvPicPr>
                  <pic:blipFill>
                    <a:blip r:embed="rId8"/>
                    <a:stretch>
                      <a:fillRect/>
                    </a:stretch>
                  </pic:blipFill>
                  <pic:spPr>
                    <a:xfrm>
                      <a:off x="0" y="0"/>
                      <a:ext cx="1271765" cy="557784"/>
                    </a:xfrm>
                    <a:prstGeom prst="rect">
                      <a:avLst/>
                    </a:prstGeom>
                  </pic:spPr>
                </pic:pic>
              </a:graphicData>
            </a:graphic>
          </wp:inline>
        </w:drawing>
      </w:r>
    </w:p>
    <w:p w14:paraId="1F41AE9D" w14:textId="77777777" w:rsidR="00D7605F" w:rsidRDefault="00C62291">
      <w:pPr>
        <w:spacing w:after="6" w:line="259" w:lineRule="auto"/>
        <w:ind w:left="10" w:right="-15" w:hanging="10"/>
        <w:jc w:val="right"/>
      </w:pPr>
      <w:r>
        <w:t>(Saurabh Goyal)</w:t>
      </w:r>
    </w:p>
    <w:p w14:paraId="35D47B14" w14:textId="77777777" w:rsidR="00D7605F" w:rsidRDefault="00C62291">
      <w:pPr>
        <w:spacing w:after="6" w:line="259" w:lineRule="auto"/>
        <w:ind w:left="10" w:right="-15" w:hanging="10"/>
        <w:jc w:val="right"/>
      </w:pPr>
      <w:r>
        <w:t>Deputy Director General of Foreign Trade</w:t>
      </w:r>
    </w:p>
    <w:p w14:paraId="33827107" w14:textId="77777777" w:rsidR="00D7605F" w:rsidRDefault="00C62291">
      <w:pPr>
        <w:spacing w:after="205" w:line="270" w:lineRule="auto"/>
        <w:ind w:left="6404" w:right="50" w:hanging="677"/>
      </w:pPr>
      <w:r>
        <w:t xml:space="preserve">Directorate General of Foreign Trade Telephone No. 011-23038790 </w:t>
      </w:r>
      <w:r>
        <w:rPr>
          <w:noProof/>
        </w:rPr>
        <w:drawing>
          <wp:inline distT="0" distB="0" distL="0" distR="0" wp14:anchorId="116A646E" wp14:editId="399B7C05">
            <wp:extent cx="4575" cy="4572"/>
            <wp:effectExtent l="0" t="0" r="0" b="0"/>
            <wp:docPr id="3071" name="Picture 3071"/>
            <wp:cNvGraphicFramePr/>
            <a:graphic xmlns:a="http://schemas.openxmlformats.org/drawingml/2006/main">
              <a:graphicData uri="http://schemas.openxmlformats.org/drawingml/2006/picture">
                <pic:pic xmlns:pic="http://schemas.openxmlformats.org/drawingml/2006/picture">
                  <pic:nvPicPr>
                    <pic:cNvPr id="3071" name="Picture 3071"/>
                    <pic:cNvPicPr/>
                  </pic:nvPicPr>
                  <pic:blipFill>
                    <a:blip r:embed="rId9"/>
                    <a:stretch>
                      <a:fillRect/>
                    </a:stretch>
                  </pic:blipFill>
                  <pic:spPr>
                    <a:xfrm>
                      <a:off x="0" y="0"/>
                      <a:ext cx="4575" cy="4572"/>
                    </a:xfrm>
                    <a:prstGeom prst="rect">
                      <a:avLst/>
                    </a:prstGeom>
                  </pic:spPr>
                </pic:pic>
              </a:graphicData>
            </a:graphic>
          </wp:inline>
        </w:drawing>
      </w:r>
      <w:r>
        <w:t>saurabh.goyal@gov.in</w:t>
      </w:r>
      <w:r>
        <w:rPr>
          <w:noProof/>
        </w:rPr>
        <w:drawing>
          <wp:inline distT="0" distB="0" distL="0" distR="0" wp14:anchorId="1CF19E2A" wp14:editId="7C4D7CA2">
            <wp:extent cx="4575" cy="13716"/>
            <wp:effectExtent l="0" t="0" r="0" b="0"/>
            <wp:docPr id="6108" name="Picture 6108"/>
            <wp:cNvGraphicFramePr/>
            <a:graphic xmlns:a="http://schemas.openxmlformats.org/drawingml/2006/main">
              <a:graphicData uri="http://schemas.openxmlformats.org/drawingml/2006/picture">
                <pic:pic xmlns:pic="http://schemas.openxmlformats.org/drawingml/2006/picture">
                  <pic:nvPicPr>
                    <pic:cNvPr id="6108" name="Picture 6108"/>
                    <pic:cNvPicPr/>
                  </pic:nvPicPr>
                  <pic:blipFill>
                    <a:blip r:embed="rId10"/>
                    <a:stretch>
                      <a:fillRect/>
                    </a:stretch>
                  </pic:blipFill>
                  <pic:spPr>
                    <a:xfrm>
                      <a:off x="0" y="0"/>
                      <a:ext cx="4575" cy="13716"/>
                    </a:xfrm>
                    <a:prstGeom prst="rect">
                      <a:avLst/>
                    </a:prstGeom>
                  </pic:spPr>
                </pic:pic>
              </a:graphicData>
            </a:graphic>
          </wp:inline>
        </w:drawing>
      </w:r>
    </w:p>
    <w:p w14:paraId="2E36ED50" w14:textId="77777777" w:rsidR="00D7605F" w:rsidRDefault="00C62291">
      <w:pPr>
        <w:spacing w:after="4231" w:line="265" w:lineRule="auto"/>
        <w:ind w:left="154" w:right="0" w:hanging="10"/>
        <w:jc w:val="center"/>
      </w:pPr>
      <w:r>
        <w:t>(Issued from File No. 1/94/180/1 17/AM19/PC-4)</w:t>
      </w:r>
      <w:r>
        <w:rPr>
          <w:noProof/>
        </w:rPr>
        <w:drawing>
          <wp:inline distT="0" distB="0" distL="0" distR="0" wp14:anchorId="43B348B7" wp14:editId="4FF963AE">
            <wp:extent cx="4575" cy="9144"/>
            <wp:effectExtent l="0" t="0" r="0" b="0"/>
            <wp:docPr id="3074" name="Picture 3074"/>
            <wp:cNvGraphicFramePr/>
            <a:graphic xmlns:a="http://schemas.openxmlformats.org/drawingml/2006/main">
              <a:graphicData uri="http://schemas.openxmlformats.org/drawingml/2006/picture">
                <pic:pic xmlns:pic="http://schemas.openxmlformats.org/drawingml/2006/picture">
                  <pic:nvPicPr>
                    <pic:cNvPr id="3074" name="Picture 3074"/>
                    <pic:cNvPicPr/>
                  </pic:nvPicPr>
                  <pic:blipFill>
                    <a:blip r:embed="rId11"/>
                    <a:stretch>
                      <a:fillRect/>
                    </a:stretch>
                  </pic:blipFill>
                  <pic:spPr>
                    <a:xfrm>
                      <a:off x="0" y="0"/>
                      <a:ext cx="4575" cy="9144"/>
                    </a:xfrm>
                    <a:prstGeom prst="rect">
                      <a:avLst/>
                    </a:prstGeom>
                  </pic:spPr>
                </pic:pic>
              </a:graphicData>
            </a:graphic>
          </wp:inline>
        </w:drawing>
      </w:r>
    </w:p>
    <w:p w14:paraId="0C3AF2C1" w14:textId="77777777" w:rsidR="00D7605F" w:rsidRDefault="00C62291">
      <w:pPr>
        <w:spacing w:after="156" w:line="259" w:lineRule="auto"/>
        <w:ind w:left="197" w:right="0" w:hanging="10"/>
        <w:jc w:val="center"/>
      </w:pPr>
      <w:r>
        <w:rPr>
          <w:rFonts w:ascii="Calibri" w:eastAsia="Calibri" w:hAnsi="Calibri" w:cs="Calibri"/>
          <w:sz w:val="22"/>
        </w:rPr>
        <w:lastRenderedPageBreak/>
        <w:t>Page 2 of 2</w:t>
      </w:r>
    </w:p>
    <w:sectPr w:rsidR="00D7605F">
      <w:pgSz w:w="12240" w:h="15840"/>
      <w:pgMar w:top="1365" w:right="1585" w:bottom="602" w:left="145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744DFA"/>
    <w:multiLevelType w:val="hybridMultilevel"/>
    <w:tmpl w:val="764EF262"/>
    <w:lvl w:ilvl="0" w:tplc="28C432DA">
      <w:start w:val="2"/>
      <w:numFmt w:val="decimal"/>
      <w:lvlText w:val="%1."/>
      <w:lvlJc w:val="left"/>
      <w:pPr>
        <w:ind w:left="1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DA8E706">
      <w:start w:val="1"/>
      <w:numFmt w:val="lowerRoman"/>
      <w:lvlText w:val="%2."/>
      <w:lvlJc w:val="left"/>
      <w:pPr>
        <w:ind w:left="8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C88628">
      <w:start w:val="1"/>
      <w:numFmt w:val="lowerRoman"/>
      <w:lvlText w:val="%3"/>
      <w:lvlJc w:val="left"/>
      <w:pPr>
        <w:ind w:left="12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EC7438">
      <w:start w:val="1"/>
      <w:numFmt w:val="decimal"/>
      <w:lvlText w:val="%4"/>
      <w:lvlJc w:val="left"/>
      <w:pPr>
        <w:ind w:left="19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A92F448">
      <w:start w:val="1"/>
      <w:numFmt w:val="lowerLetter"/>
      <w:lvlText w:val="%5"/>
      <w:lvlJc w:val="left"/>
      <w:pPr>
        <w:ind w:left="27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80B25E">
      <w:start w:val="1"/>
      <w:numFmt w:val="lowerRoman"/>
      <w:lvlText w:val="%6"/>
      <w:lvlJc w:val="left"/>
      <w:pPr>
        <w:ind w:left="34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3C8F10">
      <w:start w:val="1"/>
      <w:numFmt w:val="decimal"/>
      <w:lvlText w:val="%7"/>
      <w:lvlJc w:val="left"/>
      <w:pPr>
        <w:ind w:left="41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6E8EE26">
      <w:start w:val="1"/>
      <w:numFmt w:val="lowerLetter"/>
      <w:lvlText w:val="%8"/>
      <w:lvlJc w:val="left"/>
      <w:pPr>
        <w:ind w:left="48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56ECCA">
      <w:start w:val="1"/>
      <w:numFmt w:val="lowerRoman"/>
      <w:lvlText w:val="%9"/>
      <w:lvlJc w:val="left"/>
      <w:pPr>
        <w:ind w:left="55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3551529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05F"/>
    <w:rsid w:val="00C62291"/>
    <w:rsid w:val="00D7605F"/>
    <w:rsid w:val="00F230A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C62E73F"/>
  <w15:docId w15:val="{C9CB1FCF-5273-43FB-AE65-4CC357878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9" w:lineRule="auto"/>
      <w:ind w:left="3" w:right="108" w:hanging="3"/>
      <w:jc w:val="both"/>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485</Words>
  <Characters>2769</Characters>
  <Application>Microsoft Office Word</Application>
  <DocSecurity>0</DocSecurity>
  <Lines>23</Lines>
  <Paragraphs>6</Paragraphs>
  <ScaleCrop>false</ScaleCrop>
  <Company/>
  <LinksUpToDate>false</LinksUpToDate>
  <CharactersWithSpaces>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Priyanka Sharma</dc:creator>
  <cp:keywords/>
  <cp:lastModifiedBy>Priyanka Sharma</cp:lastModifiedBy>
  <cp:revision>2</cp:revision>
  <dcterms:created xsi:type="dcterms:W3CDTF">2025-11-11T11:46:00Z</dcterms:created>
  <dcterms:modified xsi:type="dcterms:W3CDTF">2025-11-11T11:46:00Z</dcterms:modified>
</cp:coreProperties>
</file>